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6795"/>
      </w:tblGrid>
      <w:tr w:rsidR="77476C36" w14:paraId="10BE1D7E" w14:textId="77777777" w:rsidTr="77476C36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6C837B56" w14:textId="175B97D1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Role</w:t>
            </w:r>
          </w:p>
          <w:p w14:paraId="25638B01" w14:textId="7CCFC8B9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514A2871" w14:textId="416CD2DA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sz w:val="20"/>
                <w:szCs w:val="20"/>
              </w:rPr>
              <w:t>HE Course Coordinator x2 (Maternity Cover)</w:t>
            </w:r>
          </w:p>
          <w:p w14:paraId="79A4CB99" w14:textId="0DF6FD2A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7476C36" w14:paraId="68CA9FDD" w14:textId="77777777" w:rsidTr="77476C36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5D2331F6" w14:textId="1318E4BC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Department</w:t>
            </w:r>
          </w:p>
          <w:p w14:paraId="674BBC1A" w14:textId="32931400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0878F621" w14:textId="41061960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sz w:val="20"/>
                <w:szCs w:val="20"/>
              </w:rPr>
              <w:t>Student and Academic Services</w:t>
            </w:r>
          </w:p>
        </w:tc>
      </w:tr>
      <w:tr w:rsidR="77476C36" w14:paraId="28FC3CA1" w14:textId="77777777" w:rsidTr="77476C36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337BBEDC" w14:textId="13503693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Reports to:</w:t>
            </w:r>
          </w:p>
          <w:p w14:paraId="77897537" w14:textId="66CAD346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44980FAD" w14:textId="565E13F3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sz w:val="20"/>
                <w:szCs w:val="20"/>
              </w:rPr>
              <w:t>HE Courses Manager</w:t>
            </w:r>
          </w:p>
        </w:tc>
      </w:tr>
      <w:tr w:rsidR="77476C36" w14:paraId="2444F7C9" w14:textId="77777777" w:rsidTr="77476C36">
        <w:trPr>
          <w:trHeight w:val="300"/>
        </w:trPr>
        <w:tc>
          <w:tcPr>
            <w:tcW w:w="1830" w:type="dxa"/>
            <w:tcMar>
              <w:left w:w="105" w:type="dxa"/>
              <w:right w:w="105" w:type="dxa"/>
            </w:tcMar>
          </w:tcPr>
          <w:p w14:paraId="05674C10" w14:textId="1203C3DD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Reports</w:t>
            </w:r>
          </w:p>
          <w:p w14:paraId="59F27BCF" w14:textId="1B49509E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0B05EF2E" w14:textId="31C3A7FC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</w:tbl>
    <w:p w14:paraId="09D20AA7" w14:textId="45139E16" w:rsidR="00D41B6A" w:rsidRDefault="00D41B6A" w:rsidP="77476C36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77476C36" w14:paraId="0DA7CA80" w14:textId="77777777" w:rsidTr="77476C36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5DBB5A02" w14:textId="09A3116C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Prime Function of Role</w:t>
            </w:r>
          </w:p>
        </w:tc>
      </w:tr>
      <w:tr w:rsidR="77476C36" w14:paraId="48F79200" w14:textId="77777777" w:rsidTr="77476C36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5C53BA8A" w14:textId="47FC6A67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FCE0B0" w14:textId="3A9B0666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sz w:val="20"/>
                <w:szCs w:val="20"/>
              </w:rPr>
              <w:t>The Course Coordinator is part of the team responsible for day-to-day administration of designated HE Courses</w:t>
            </w:r>
          </w:p>
          <w:p w14:paraId="26380A27" w14:textId="2C1A735A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E23AF4" w14:textId="702B1187" w:rsidR="00D41B6A" w:rsidRDefault="00D41B6A" w:rsidP="77476C36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77476C36" w14:paraId="1EDCDE81" w14:textId="77777777" w:rsidTr="77476C36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4439E568" w14:textId="7F0E32EC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Accountabilities </w:t>
            </w:r>
          </w:p>
        </w:tc>
      </w:tr>
      <w:tr w:rsidR="77476C36" w14:paraId="2706600B" w14:textId="77777777" w:rsidTr="77476C36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294A19CD" w14:textId="474C2EAF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Course administration</w:t>
            </w:r>
          </w:p>
          <w:p w14:paraId="121AE44C" w14:textId="39BC6A37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Be the first point of contact for assigned HE Course/</w:t>
            </w:r>
            <w:r w:rsidR="00F3224F" w:rsidRPr="77476C36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14:paraId="5B32D2CB" w14:textId="6E426BC1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Deal with any general enquiries and correspondence</w:t>
            </w:r>
          </w:p>
          <w:p w14:paraId="6E547190" w14:textId="4DEF486C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Respond to or escalate if appropriate queries from students, staff, visiting tutors and directors, external examiners</w:t>
            </w:r>
          </w:p>
          <w:p w14:paraId="2B5FF4A8" w14:textId="0D061F3A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Maintain effective communications with students via noticeboards and online systems. </w:t>
            </w:r>
          </w:p>
          <w:p w14:paraId="76457657" w14:textId="1139A1D6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Support the timetable process for all higher education programmes: preparation and distribution of timetables, including any clashes or ad hoc requirements</w:t>
            </w:r>
          </w:p>
          <w:p w14:paraId="0DB0A0C2" w14:textId="10AED11D" w:rsidR="77476C36" w:rsidRDefault="77476C36" w:rsidP="77476C36">
            <w:pPr>
              <w:pStyle w:val="ListParagraph"/>
              <w:numPr>
                <w:ilvl w:val="0"/>
                <w:numId w:val="5"/>
              </w:numPr>
              <w:tabs>
                <w:tab w:val="left" w:pos="830"/>
              </w:tabs>
              <w:spacing w:before="11" w:line="232" w:lineRule="auto"/>
              <w:ind w:right="102"/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0"/>
                <w:szCs w:val="20"/>
              </w:rPr>
              <w:t>Support</w:t>
            </w:r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 room bookings for </w:t>
            </w:r>
            <w:r w:rsidRPr="77476C36">
              <w:rPr>
                <w:rFonts w:ascii="Arial" w:eastAsia="Arial" w:hAnsi="Arial" w:cs="Arial"/>
                <w:sz w:val="20"/>
                <w:szCs w:val="20"/>
              </w:rPr>
              <w:t>assigned</w:t>
            </w:r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 courses </w:t>
            </w:r>
          </w:p>
          <w:p w14:paraId="5430D65A" w14:textId="52D92F12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Coordinate room set up requests for courses, as directed by line manager /Course Director or Leader</w:t>
            </w:r>
          </w:p>
          <w:p w14:paraId="23BCE7BD" w14:textId="7C29D68C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Assist in preparing class groups under direction of the Course Director/Leader</w:t>
            </w:r>
          </w:p>
          <w:p w14:paraId="46E0733F" w14:textId="14D0DB1E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Schedule tutorials on behalf of the Course Director or Leader</w:t>
            </w:r>
          </w:p>
          <w:p w14:paraId="77775036" w14:textId="251696BD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Maintain and create records of interrupting students and support to study along with relevant paperwork </w:t>
            </w:r>
          </w:p>
          <w:p w14:paraId="2550727D" w14:textId="731BEE2A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Coordinate arrangements for visiting professionals or external events.</w:t>
            </w:r>
          </w:p>
          <w:p w14:paraId="2F78F3B7" w14:textId="1B6C9D0C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Maintain and administer student lateness and absence records </w:t>
            </w:r>
          </w:p>
          <w:p w14:paraId="174797F9" w14:textId="40AAD232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0256C3A" w14:textId="76A45638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Assessment administration:</w:t>
            </w:r>
          </w:p>
          <w:p w14:paraId="72B0E941" w14:textId="7AA00596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Administer systems for assessment and self-reflection. </w:t>
            </w:r>
          </w:p>
          <w:p w14:paraId="6DA90AAC" w14:textId="515A64FE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77476C36">
              <w:rPr>
                <w:rFonts w:ascii="Arial" w:eastAsia="Arial" w:hAnsi="Arial" w:cs="Arial"/>
                <w:sz w:val="22"/>
                <w:szCs w:val="22"/>
              </w:rPr>
              <w:t>Liaise</w:t>
            </w:r>
            <w:proofErr w:type="gramEnd"/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 with internal and external staff on assessment requirements </w:t>
            </w:r>
          </w:p>
          <w:p w14:paraId="42BE46B4" w14:textId="3B2D1946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Maintain assessment forms and correct mark scheme for each course and year group</w:t>
            </w:r>
          </w:p>
          <w:p w14:paraId="3B0B9420" w14:textId="36F713FD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Maintain accurate assessment records and check mark calculations</w:t>
            </w:r>
          </w:p>
          <w:p w14:paraId="053B2F3A" w14:textId="614B0AE7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Administer systems for mitigating circumstances and warnings to fail</w:t>
            </w:r>
          </w:p>
          <w:p w14:paraId="30598A14" w14:textId="75C5F81B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Distribute assessment feedback to students in a timely manner and in line with established protocols</w:t>
            </w:r>
          </w:p>
          <w:p w14:paraId="1759874B" w14:textId="76E88D21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Ensure up to date information for scholarship and bursary external reporting, in liaison with the Development Department</w:t>
            </w:r>
          </w:p>
          <w:p w14:paraId="6104E648" w14:textId="27F183C5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77476C36">
              <w:rPr>
                <w:rFonts w:ascii="Arial" w:eastAsia="Arial" w:hAnsi="Arial" w:cs="Arial"/>
                <w:sz w:val="22"/>
                <w:szCs w:val="22"/>
              </w:rPr>
              <w:t>Act as</w:t>
            </w:r>
            <w:proofErr w:type="gramEnd"/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 Secretary to relevant Assessment Boards. </w:t>
            </w:r>
          </w:p>
          <w:p w14:paraId="2FA9770E" w14:textId="70073934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6735744" w14:textId="2B97A857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Meeting administration:</w:t>
            </w:r>
          </w:p>
          <w:p w14:paraId="15CB551E" w14:textId="465311C3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Support the Course Lead in preparation of student Profile Meetings, providing any information required for the meeting.</w:t>
            </w:r>
          </w:p>
          <w:p w14:paraId="3E81A092" w14:textId="3F745301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Prepare meeting agendas, as directed by line manager, Course Lead and Registrar/Deputy Registrars </w:t>
            </w:r>
          </w:p>
          <w:p w14:paraId="6BD776AE" w14:textId="52C03FEE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Take minutes at team meetings as required </w:t>
            </w:r>
          </w:p>
          <w:p w14:paraId="3528C838" w14:textId="48CB9217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Support or be a member of other committees or working groups as agreed with line manager/ Registrar/Deputy Registrars</w:t>
            </w:r>
          </w:p>
          <w:p w14:paraId="3ED4EEA1" w14:textId="3B2A4A7F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FB4043C" w14:textId="1D256910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Student representation. evaluation and feedback</w:t>
            </w:r>
          </w:p>
          <w:p w14:paraId="3AC58CA4" w14:textId="7A46D27B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administer internal and external student evaluation and feedback systems Ensure student module feedback is collected and passed to relevant department heads and reports </w:t>
            </w:r>
            <w:proofErr w:type="gramStart"/>
            <w:r w:rsidRPr="77476C36">
              <w:rPr>
                <w:rFonts w:ascii="Arial" w:eastAsia="Arial" w:hAnsi="Arial" w:cs="Arial"/>
                <w:sz w:val="22"/>
                <w:szCs w:val="22"/>
              </w:rPr>
              <w:t>provided</w:t>
            </w:r>
            <w:proofErr w:type="gramEnd"/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 as necessary.</w:t>
            </w:r>
          </w:p>
          <w:p w14:paraId="10F0D44B" w14:textId="0D9E8F59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095407D" w14:textId="7D1C6DCD" w:rsidR="77476C36" w:rsidRDefault="77476C36" w:rsidP="77476C3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476C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General</w:t>
            </w:r>
          </w:p>
          <w:p w14:paraId="0F69B069" w14:textId="17CE0534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To work closely with the department to ensure a seamless service and provide cover for holidays and other absences</w:t>
            </w:r>
          </w:p>
          <w:p w14:paraId="79267E16" w14:textId="628A0305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To contribute to the work of the Student &amp; Academic Services department</w:t>
            </w:r>
          </w:p>
          <w:p w14:paraId="704C9DA2" w14:textId="09BCBF48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Engage in your own professional development, including relevant developments in the Higher Education sector</w:t>
            </w:r>
          </w:p>
          <w:p w14:paraId="79107FCD" w14:textId="1038A0A6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To undertake any other duties as required commensurate with the level of the post</w:t>
            </w:r>
          </w:p>
          <w:p w14:paraId="58A5840B" w14:textId="3F2AC6E7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Contribute to the development and culture of RADA, attend RADA training and staff events as and when required (</w:t>
            </w:r>
            <w:proofErr w:type="gramStart"/>
            <w:r w:rsidRPr="77476C36">
              <w:rPr>
                <w:rFonts w:ascii="Arial" w:eastAsia="Arial" w:hAnsi="Arial" w:cs="Arial"/>
                <w:sz w:val="22"/>
                <w:szCs w:val="22"/>
              </w:rPr>
              <w:t>including but not limited to</w:t>
            </w:r>
            <w:proofErr w:type="gramEnd"/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 annual staff conference and termly town hall meetings)</w:t>
            </w:r>
          </w:p>
          <w:p w14:paraId="6570BFA7" w14:textId="2953F446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Promote Equality, Diversity and Inclusion at all times and ensure they are at the forefront of your thinking when undertaking your responsibilities</w:t>
            </w:r>
          </w:p>
          <w:p w14:paraId="0921AB78" w14:textId="3B8AE80B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Comply with GDPR regulations regarding protecting personal data</w:t>
            </w:r>
          </w:p>
          <w:p w14:paraId="6D492064" w14:textId="06A3D0E0" w:rsidR="77476C36" w:rsidRDefault="77476C36" w:rsidP="77476C36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Comply with Health and Safety legislation and ensure you are up to date with RADA’s Health and Safety Policy</w:t>
            </w:r>
            <w:r>
              <w:br/>
            </w:r>
          </w:p>
        </w:tc>
      </w:tr>
    </w:tbl>
    <w:p w14:paraId="7ACD2E12" w14:textId="39193FF0" w:rsidR="00D41B6A" w:rsidRDefault="00D41B6A" w:rsidP="77476C36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7872252" w14:textId="53264F2C" w:rsidR="00D41B6A" w:rsidRDefault="33B96464" w:rsidP="77476C3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7476C3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Person Specification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360"/>
        <w:gridCol w:w="2640"/>
      </w:tblGrid>
      <w:tr w:rsidR="77476C36" w14:paraId="512EA381" w14:textId="77777777" w:rsidTr="77476C3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4C04765A" w14:textId="690911DB" w:rsidR="77476C36" w:rsidRDefault="77476C36" w:rsidP="77476C3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60" w:type="dxa"/>
            <w:tcMar>
              <w:left w:w="105" w:type="dxa"/>
              <w:right w:w="105" w:type="dxa"/>
            </w:tcMar>
          </w:tcPr>
          <w:p w14:paraId="4C40D398" w14:textId="73CAF8E0" w:rsidR="77476C36" w:rsidRDefault="77476C36" w:rsidP="77476C3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Essential</w:t>
            </w:r>
          </w:p>
          <w:p w14:paraId="40A50F25" w14:textId="3B890ED0" w:rsidR="77476C36" w:rsidRDefault="77476C36" w:rsidP="77476C3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tcMar>
              <w:left w:w="105" w:type="dxa"/>
              <w:right w:w="105" w:type="dxa"/>
            </w:tcMar>
          </w:tcPr>
          <w:p w14:paraId="1A9188BB" w14:textId="3FC54C0A" w:rsidR="77476C36" w:rsidRDefault="77476C36" w:rsidP="77476C3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77476C36" w14:paraId="321EE460" w14:textId="77777777" w:rsidTr="77476C3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6BF2D04D" w14:textId="2F3C7698" w:rsidR="77476C36" w:rsidRDefault="77476C36" w:rsidP="77476C3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3360" w:type="dxa"/>
            <w:tcMar>
              <w:left w:w="105" w:type="dxa"/>
              <w:right w:w="105" w:type="dxa"/>
            </w:tcMar>
          </w:tcPr>
          <w:p w14:paraId="396785E7" w14:textId="028D5C6B" w:rsidR="77476C36" w:rsidRDefault="77476C36" w:rsidP="77476C3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A level 3 qualification or equivalent relevant experience.</w:t>
            </w:r>
          </w:p>
          <w:p w14:paraId="77150FC7" w14:textId="0FEAE531" w:rsidR="77476C36" w:rsidRDefault="77476C36" w:rsidP="77476C3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tcMar>
              <w:left w:w="105" w:type="dxa"/>
              <w:right w:w="105" w:type="dxa"/>
            </w:tcMar>
          </w:tcPr>
          <w:p w14:paraId="5FF89181" w14:textId="53D397DE" w:rsidR="77476C36" w:rsidRDefault="77476C36" w:rsidP="77476C3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An undergraduate degree or equivalent qualification.</w:t>
            </w:r>
          </w:p>
          <w:p w14:paraId="5F6B05A2" w14:textId="73E18D58" w:rsidR="77476C36" w:rsidRDefault="77476C36" w:rsidP="77476C3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77476C36" w14:paraId="2375A181" w14:textId="77777777" w:rsidTr="77476C3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05C1529C" w14:textId="4C23C7EF" w:rsidR="77476C36" w:rsidRDefault="77476C36" w:rsidP="77476C3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3360" w:type="dxa"/>
            <w:tcMar>
              <w:left w:w="105" w:type="dxa"/>
              <w:right w:w="105" w:type="dxa"/>
            </w:tcMar>
          </w:tcPr>
          <w:p w14:paraId="6E4186D9" w14:textId="1AC6534E" w:rsidR="77476C36" w:rsidRDefault="77476C36" w:rsidP="77476C3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Excellent IT skills including data entry, word processing, spreadsheet packages and database use.</w:t>
            </w:r>
          </w:p>
          <w:p w14:paraId="659DFB25" w14:textId="74B5E301" w:rsidR="77476C36" w:rsidRDefault="77476C36" w:rsidP="77476C3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Excellent communication and </w:t>
            </w:r>
            <w:proofErr w:type="gramStart"/>
            <w:r w:rsidRPr="77476C36">
              <w:rPr>
                <w:rFonts w:ascii="Arial" w:eastAsia="Arial" w:hAnsi="Arial" w:cs="Arial"/>
                <w:sz w:val="22"/>
                <w:szCs w:val="22"/>
              </w:rPr>
              <w:t>interpersonal skills</w:t>
            </w:r>
            <w:proofErr w:type="gramEnd"/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 with the ability to communicate with staff, students and members of the public.</w:t>
            </w:r>
          </w:p>
          <w:p w14:paraId="57497DFA" w14:textId="090EF4B5" w:rsidR="77476C36" w:rsidRDefault="77476C36" w:rsidP="77476C3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Excellent organisational and time management skills.</w:t>
            </w:r>
          </w:p>
        </w:tc>
        <w:tc>
          <w:tcPr>
            <w:tcW w:w="2640" w:type="dxa"/>
            <w:tcMar>
              <w:left w:w="105" w:type="dxa"/>
              <w:right w:w="105" w:type="dxa"/>
            </w:tcMar>
          </w:tcPr>
          <w:p w14:paraId="79CE602B" w14:textId="45DC962C" w:rsidR="77476C36" w:rsidRDefault="77476C36" w:rsidP="77476C36">
            <w:pPr>
              <w:pStyle w:val="ListParagraph"/>
              <w:numPr>
                <w:ilvl w:val="0"/>
                <w:numId w:val="3"/>
              </w:numPr>
              <w:ind w:left="314"/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Interest in drama or theatre through study, </w:t>
            </w:r>
            <w:proofErr w:type="gramStart"/>
            <w:r w:rsidRPr="77476C36">
              <w:rPr>
                <w:rFonts w:ascii="Arial" w:eastAsia="Arial" w:hAnsi="Arial" w:cs="Arial"/>
                <w:sz w:val="22"/>
                <w:szCs w:val="22"/>
              </w:rPr>
              <w:t>work</w:t>
            </w:r>
            <w:proofErr w:type="gramEnd"/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 or voluntary experience</w:t>
            </w:r>
          </w:p>
          <w:p w14:paraId="77AB704C" w14:textId="2D0FA036" w:rsidR="77476C36" w:rsidRDefault="77476C36" w:rsidP="77476C3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FC2F9F" w14:textId="5701A7FC" w:rsidR="77476C36" w:rsidRDefault="77476C36" w:rsidP="77476C36">
            <w:pPr>
              <w:pStyle w:val="ListParagraph"/>
              <w:numPr>
                <w:ilvl w:val="0"/>
                <w:numId w:val="3"/>
              </w:numPr>
              <w:ind w:left="314"/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Knowledge of administering assessment systems.</w:t>
            </w:r>
          </w:p>
        </w:tc>
      </w:tr>
      <w:tr w:rsidR="77476C36" w14:paraId="0BE95035" w14:textId="77777777" w:rsidTr="77476C3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5F0D181F" w14:textId="5957BDFD" w:rsidR="77476C36" w:rsidRDefault="77476C36" w:rsidP="77476C3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3360" w:type="dxa"/>
            <w:tcMar>
              <w:left w:w="105" w:type="dxa"/>
              <w:right w:w="105" w:type="dxa"/>
            </w:tcMar>
          </w:tcPr>
          <w:p w14:paraId="6E7E198F" w14:textId="531A6665" w:rsidR="77476C36" w:rsidRDefault="77476C36" w:rsidP="77476C36">
            <w:pPr>
              <w:pStyle w:val="ListParagraph"/>
              <w:numPr>
                <w:ilvl w:val="0"/>
                <w:numId w:val="2"/>
              </w:numPr>
              <w:ind w:left="424"/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At least one consecutive year’s experience working in an administrative capacity.</w:t>
            </w:r>
          </w:p>
        </w:tc>
        <w:tc>
          <w:tcPr>
            <w:tcW w:w="2640" w:type="dxa"/>
            <w:tcMar>
              <w:left w:w="105" w:type="dxa"/>
              <w:right w:w="105" w:type="dxa"/>
            </w:tcMar>
          </w:tcPr>
          <w:p w14:paraId="5070F94A" w14:textId="654200D8" w:rsidR="77476C36" w:rsidRDefault="77476C36" w:rsidP="77476C36">
            <w:pPr>
              <w:pStyle w:val="ListParagraph"/>
              <w:numPr>
                <w:ilvl w:val="0"/>
                <w:numId w:val="2"/>
              </w:numPr>
              <w:ind w:left="314"/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Experience of working in programme administration in an educational context.</w:t>
            </w:r>
          </w:p>
        </w:tc>
      </w:tr>
      <w:tr w:rsidR="77476C36" w14:paraId="396A9B24" w14:textId="77777777" w:rsidTr="77476C3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3E1C5786" w14:textId="5D90CA83" w:rsidR="77476C36" w:rsidRDefault="77476C36" w:rsidP="77476C3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Personal attributes</w:t>
            </w:r>
          </w:p>
        </w:tc>
        <w:tc>
          <w:tcPr>
            <w:tcW w:w="3360" w:type="dxa"/>
            <w:tcMar>
              <w:left w:w="105" w:type="dxa"/>
              <w:right w:w="105" w:type="dxa"/>
            </w:tcMar>
          </w:tcPr>
          <w:p w14:paraId="04B120AD" w14:textId="3C2B26D1" w:rsidR="77476C36" w:rsidRDefault="77476C36" w:rsidP="77476C36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Calm, unflappable demeanour.</w:t>
            </w:r>
          </w:p>
          <w:p w14:paraId="7B70A91F" w14:textId="78DE85B4" w:rsidR="77476C36" w:rsidRDefault="77476C36" w:rsidP="77476C36">
            <w:pPr>
              <w:ind w:left="28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300D4C" w14:textId="63BD0797" w:rsidR="77476C36" w:rsidRDefault="77476C36" w:rsidP="77476C36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Discreet, </w:t>
            </w:r>
            <w:proofErr w:type="gramStart"/>
            <w:r w:rsidRPr="77476C36">
              <w:rPr>
                <w:rFonts w:ascii="Arial" w:eastAsia="Arial" w:hAnsi="Arial" w:cs="Arial"/>
                <w:sz w:val="22"/>
                <w:szCs w:val="22"/>
              </w:rPr>
              <w:t>trustworthy</w:t>
            </w:r>
            <w:proofErr w:type="gramEnd"/>
            <w:r w:rsidRPr="77476C36">
              <w:rPr>
                <w:rFonts w:ascii="Arial" w:eastAsia="Arial" w:hAnsi="Arial" w:cs="Arial"/>
                <w:sz w:val="22"/>
                <w:szCs w:val="22"/>
              </w:rPr>
              <w:t xml:space="preserve"> and professional.</w:t>
            </w:r>
          </w:p>
          <w:p w14:paraId="4B2641F0" w14:textId="325ED670" w:rsidR="77476C36" w:rsidRDefault="77476C36" w:rsidP="77476C36">
            <w:pPr>
              <w:spacing w:after="200" w:line="276" w:lineRule="auto"/>
              <w:ind w:left="4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B777B7" w14:textId="3F10F524" w:rsidR="77476C36" w:rsidRDefault="77476C36" w:rsidP="77476C36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Able to manage competing work and priorities.</w:t>
            </w:r>
          </w:p>
          <w:p w14:paraId="16BF676B" w14:textId="28BB56AA" w:rsidR="77476C36" w:rsidRDefault="77476C36" w:rsidP="77476C36">
            <w:pPr>
              <w:spacing w:after="200" w:line="276" w:lineRule="auto"/>
              <w:ind w:left="4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3E03AD6E" w14:textId="23645FBB" w:rsidR="77476C36" w:rsidRDefault="77476C36" w:rsidP="77476C36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Self-sufficient and able to work with minimal supervision.</w:t>
            </w:r>
          </w:p>
          <w:p w14:paraId="7DA92BBC" w14:textId="23E0BD45" w:rsidR="77476C36" w:rsidRDefault="77476C36" w:rsidP="77476C36">
            <w:pPr>
              <w:spacing w:after="200" w:line="276" w:lineRule="auto"/>
              <w:ind w:left="4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AB9B78" w14:textId="2004452A" w:rsidR="77476C36" w:rsidRDefault="77476C36" w:rsidP="77476C36">
            <w:pPr>
              <w:pStyle w:val="ListParagraph"/>
              <w:numPr>
                <w:ilvl w:val="0"/>
                <w:numId w:val="1"/>
              </w:numPr>
              <w:ind w:left="424"/>
              <w:rPr>
                <w:rFonts w:ascii="Arial" w:eastAsia="Arial" w:hAnsi="Arial" w:cs="Arial"/>
                <w:sz w:val="22"/>
                <w:szCs w:val="22"/>
              </w:rPr>
            </w:pPr>
            <w:r w:rsidRPr="77476C36">
              <w:rPr>
                <w:rFonts w:ascii="Arial" w:eastAsia="Arial" w:hAnsi="Arial" w:cs="Arial"/>
                <w:sz w:val="22"/>
                <w:szCs w:val="22"/>
              </w:rPr>
              <w:t>Adaptable and flexible.</w:t>
            </w:r>
          </w:p>
        </w:tc>
        <w:tc>
          <w:tcPr>
            <w:tcW w:w="2640" w:type="dxa"/>
            <w:tcMar>
              <w:left w:w="105" w:type="dxa"/>
              <w:right w:w="105" w:type="dxa"/>
            </w:tcMar>
          </w:tcPr>
          <w:p w14:paraId="4A1A2D11" w14:textId="37201C81" w:rsidR="77476C36" w:rsidRDefault="77476C36" w:rsidP="77476C3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B8DCA9F" w14:textId="37079F36" w:rsidR="00D41B6A" w:rsidRDefault="00D41B6A" w:rsidP="77476C36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32D2C55" w14:textId="6BA890DF" w:rsidR="00D41B6A" w:rsidRDefault="33B96464" w:rsidP="77476C36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7476C36">
        <w:rPr>
          <w:rFonts w:ascii="Arial" w:eastAsia="Arial" w:hAnsi="Arial" w:cs="Arial"/>
          <w:color w:val="000000" w:themeColor="text1"/>
          <w:sz w:val="20"/>
          <w:szCs w:val="20"/>
        </w:rPr>
        <w:t>Last updated:  January 2025</w:t>
      </w:r>
    </w:p>
    <w:p w14:paraId="5E5787A5" w14:textId="4B17961A" w:rsidR="00D41B6A" w:rsidRDefault="00D41B6A"/>
    <w:sectPr w:rsidR="00D41B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A7AB9"/>
    <w:multiLevelType w:val="hybridMultilevel"/>
    <w:tmpl w:val="F698AFE2"/>
    <w:lvl w:ilvl="0" w:tplc="1FDE1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4A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8F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E3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2A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24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85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9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00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1F02"/>
    <w:multiLevelType w:val="hybridMultilevel"/>
    <w:tmpl w:val="45C85DE4"/>
    <w:lvl w:ilvl="0" w:tplc="530C5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5EE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1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63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04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0B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C3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6E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A4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C0C3"/>
    <w:multiLevelType w:val="hybridMultilevel"/>
    <w:tmpl w:val="287C7588"/>
    <w:lvl w:ilvl="0" w:tplc="57141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6D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EC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A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02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86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8C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81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4B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C9BA7"/>
    <w:multiLevelType w:val="hybridMultilevel"/>
    <w:tmpl w:val="C486D2F0"/>
    <w:lvl w:ilvl="0" w:tplc="E56C1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4C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8C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E7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C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80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8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40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ED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60"/>
    <w:multiLevelType w:val="hybridMultilevel"/>
    <w:tmpl w:val="2BE68AC6"/>
    <w:lvl w:ilvl="0" w:tplc="56E62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2F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46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2F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89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27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E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CE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5723">
    <w:abstractNumId w:val="0"/>
  </w:num>
  <w:num w:numId="2" w16cid:durableId="2087217901">
    <w:abstractNumId w:val="3"/>
  </w:num>
  <w:num w:numId="3" w16cid:durableId="731277218">
    <w:abstractNumId w:val="4"/>
  </w:num>
  <w:num w:numId="4" w16cid:durableId="1816070765">
    <w:abstractNumId w:val="1"/>
  </w:num>
  <w:num w:numId="5" w16cid:durableId="1742604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2B243E"/>
    <w:rsid w:val="005D6794"/>
    <w:rsid w:val="00D41B6A"/>
    <w:rsid w:val="00F3224F"/>
    <w:rsid w:val="062B243E"/>
    <w:rsid w:val="33B96464"/>
    <w:rsid w:val="7747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243E"/>
  <w15:chartTrackingRefBased/>
  <w15:docId w15:val="{F5B9759D-8A97-4EB0-B515-4B029C44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7476C3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Taylor</dc:creator>
  <cp:keywords/>
  <dc:description/>
  <cp:lastModifiedBy>Angela Taylor</cp:lastModifiedBy>
  <cp:revision>2</cp:revision>
  <dcterms:created xsi:type="dcterms:W3CDTF">2025-02-06T10:59:00Z</dcterms:created>
  <dcterms:modified xsi:type="dcterms:W3CDTF">2025-02-06T10:59:00Z</dcterms:modified>
</cp:coreProperties>
</file>